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C834" w14:textId="54A49D2E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drawing>
          <wp:inline distT="0" distB="0" distL="0" distR="0" wp14:anchorId="4A2EE153" wp14:editId="5B105ABF">
            <wp:extent cx="5940425" cy="80683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грама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6CFBF" w14:textId="77777777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1F24F8" w14:textId="77777777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ECAA80" w14:textId="77777777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6264B6" w14:textId="77777777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46ADD4" w14:textId="77777777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67D3C5" w14:textId="77777777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8CF703" w14:textId="77777777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8AF55F" w14:textId="77777777" w:rsidR="00504218" w:rsidRDefault="00504218" w:rsidP="00505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99"/>
        <w:gridCol w:w="6835"/>
      </w:tblGrid>
      <w:tr w:rsidR="004B1612" w:rsidRPr="008C305E" w14:paraId="5FCCBBBB" w14:textId="77777777" w:rsidTr="00B50518">
        <w:tc>
          <w:tcPr>
            <w:tcW w:w="2799" w:type="dxa"/>
          </w:tcPr>
          <w:p w14:paraId="689A5BAB" w14:textId="77777777" w:rsidR="004B1612" w:rsidRPr="008C305E" w:rsidRDefault="004B1612" w:rsidP="004B1612">
            <w:pPr>
              <w:pStyle w:val="a4"/>
              <w:spacing w:before="240" w:beforeAutospacing="0" w:after="240" w:afterAutospacing="0"/>
              <w:rPr>
                <w:lang w:val="uk-UA"/>
              </w:rPr>
            </w:pPr>
            <w:r w:rsidRPr="008C305E">
              <w:rPr>
                <w:b/>
                <w:bCs/>
                <w:color w:val="000000"/>
                <w:lang w:val="uk-UA"/>
              </w:rPr>
              <w:t xml:space="preserve">Перелік </w:t>
            </w:r>
            <w:proofErr w:type="spellStart"/>
            <w:r w:rsidRPr="008C305E">
              <w:rPr>
                <w:b/>
                <w:bCs/>
                <w:color w:val="000000"/>
                <w:lang w:val="uk-UA"/>
              </w:rPr>
              <w:t>компетентностей</w:t>
            </w:r>
            <w:proofErr w:type="spellEnd"/>
            <w:r w:rsidRPr="008C305E">
              <w:rPr>
                <w:b/>
                <w:bCs/>
                <w:color w:val="000000"/>
                <w:lang w:val="uk-UA"/>
              </w:rPr>
              <w:t>, що вдосконалюватимуться</w:t>
            </w:r>
          </w:p>
        </w:tc>
        <w:tc>
          <w:tcPr>
            <w:tcW w:w="6835" w:type="dxa"/>
          </w:tcPr>
          <w:p w14:paraId="04BB8F7C" w14:textId="77777777" w:rsidR="004B1612" w:rsidRPr="008C305E" w:rsidRDefault="004B1612" w:rsidP="004B1612">
            <w:pPr>
              <w:pStyle w:val="a4"/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b/>
                <w:bCs/>
                <w:color w:val="000000"/>
                <w:lang w:val="uk-UA"/>
              </w:rPr>
              <w:t>Загальні компетентності:</w:t>
            </w:r>
          </w:p>
          <w:p w14:paraId="2A7C2BCA" w14:textId="77777777" w:rsidR="004B1612" w:rsidRPr="008C305E" w:rsidRDefault="001C58A0" w:rsidP="001C58A0">
            <w:pPr>
              <w:pStyle w:val="a4"/>
              <w:numPr>
                <w:ilvl w:val="0"/>
                <w:numId w:val="17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</w:t>
            </w:r>
            <w:r w:rsidR="002E54CF" w:rsidRPr="008C305E">
              <w:rPr>
                <w:lang w:val="uk-UA"/>
              </w:rPr>
              <w:t xml:space="preserve">датність поважати права та свободи людини та громадянина, </w:t>
            </w:r>
            <w:proofErr w:type="spellStart"/>
            <w:r w:rsidR="002E54CF" w:rsidRPr="008C305E">
              <w:rPr>
                <w:lang w:val="uk-UA"/>
              </w:rPr>
              <w:t>відповідально</w:t>
            </w:r>
            <w:proofErr w:type="spellEnd"/>
            <w:r w:rsidR="002E54CF" w:rsidRPr="008C305E">
              <w:rPr>
                <w:lang w:val="uk-UA"/>
              </w:rPr>
              <w:t xml:space="preserve"> ставитися до своїх обов’язків</w:t>
            </w:r>
          </w:p>
          <w:p w14:paraId="78A8B082" w14:textId="77777777" w:rsidR="002E54CF" w:rsidRPr="008C305E" w:rsidRDefault="001C58A0" w:rsidP="001C58A0">
            <w:pPr>
              <w:pStyle w:val="a4"/>
              <w:numPr>
                <w:ilvl w:val="0"/>
                <w:numId w:val="17"/>
              </w:numPr>
              <w:shd w:val="clear" w:color="auto" w:fill="FBFBFB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 w:rsidRPr="008C305E">
              <w:rPr>
                <w:lang w:val="uk-UA"/>
              </w:rPr>
              <w:t>З</w:t>
            </w:r>
            <w:r w:rsidR="002E54CF" w:rsidRPr="008C305E">
              <w:rPr>
                <w:lang w:val="uk-UA"/>
              </w:rPr>
              <w:t>датність до партнерського спілкування з учнями та їхніми батьками, роботи</w:t>
            </w:r>
            <w:r w:rsidRPr="008C305E">
              <w:rPr>
                <w:lang w:val="uk-UA"/>
              </w:rPr>
              <w:t xml:space="preserve"> в команді</w:t>
            </w:r>
          </w:p>
          <w:p w14:paraId="7A885A0B" w14:textId="77777777" w:rsidR="004B1612" w:rsidRPr="008C305E" w:rsidRDefault="004B1612" w:rsidP="004B1612">
            <w:pPr>
              <w:pStyle w:val="a4"/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b/>
                <w:bCs/>
                <w:color w:val="000000"/>
                <w:lang w:val="uk-UA"/>
              </w:rPr>
              <w:t>Професійні компетентності:</w:t>
            </w:r>
          </w:p>
          <w:p w14:paraId="5BF34AB6" w14:textId="77777777" w:rsidR="002E54CF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 xml:space="preserve">Здатність формувати та розвивати в учнів ключові компетентності та уміння, спільні для всіх </w:t>
            </w:r>
            <w:proofErr w:type="spellStart"/>
            <w:r w:rsidRPr="008C305E">
              <w:rPr>
                <w:lang w:val="uk-UA"/>
              </w:rPr>
              <w:t>компетентностей</w:t>
            </w:r>
            <w:proofErr w:type="spellEnd"/>
            <w:r w:rsidRPr="008C305E">
              <w:rPr>
                <w:lang w:val="uk-UA"/>
              </w:rPr>
              <w:t xml:space="preserve"> </w:t>
            </w:r>
          </w:p>
          <w:p w14:paraId="1F86058E" w14:textId="77777777" w:rsidR="001C58A0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добирати і використовувати сучасні та ефективні методики і технології навчання, виховання і розвитку учнів</w:t>
            </w:r>
          </w:p>
          <w:p w14:paraId="738FDF77" w14:textId="77777777" w:rsidR="001C58A0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розвивати в учнів критичне мислення</w:t>
            </w:r>
          </w:p>
          <w:p w14:paraId="717CD1FC" w14:textId="77777777" w:rsidR="002E54CF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визначати і враховувати в освітньому процесі вікові та інші індивідуальні особливості учнів</w:t>
            </w:r>
          </w:p>
          <w:p w14:paraId="5C90B731" w14:textId="77777777" w:rsidR="001C58A0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використовувати стратегії роботи з учнями, які сприяють розвитку їхньої позитивної самооцінки, я-ідентичності</w:t>
            </w:r>
          </w:p>
          <w:p w14:paraId="36D0BC60" w14:textId="77777777" w:rsidR="001C58A0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формувати мотивацію та організовувати пізнавальну діяльність учнів</w:t>
            </w:r>
          </w:p>
          <w:p w14:paraId="00D78619" w14:textId="77777777" w:rsidR="001C58A0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формувати спільноту учнів, у якій кожен відчуває себе її частиною</w:t>
            </w:r>
          </w:p>
          <w:p w14:paraId="67400AAD" w14:textId="77777777" w:rsidR="001C58A0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до суб'єкт-суб'єктної взаємодії з учнями в освітньому процесі</w:t>
            </w:r>
          </w:p>
          <w:p w14:paraId="1EE68563" w14:textId="77777777" w:rsidR="001C58A0" w:rsidRPr="008C305E" w:rsidRDefault="001C58A0" w:rsidP="001C58A0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планувати освітній процес</w:t>
            </w:r>
          </w:p>
          <w:p w14:paraId="0C97F38C" w14:textId="77777777" w:rsidR="00100B16" w:rsidRPr="008C305E" w:rsidRDefault="001C58A0" w:rsidP="00100B16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>Здатність організовувати різні види і форми навчальної та пізнавальної діяльності учнів</w:t>
            </w:r>
            <w:r w:rsidR="00100B16" w:rsidRPr="008C305E">
              <w:rPr>
                <w:lang w:val="uk-UA"/>
              </w:rPr>
              <w:t xml:space="preserve"> </w:t>
            </w:r>
          </w:p>
          <w:p w14:paraId="3C66E766" w14:textId="77777777" w:rsidR="00100B16" w:rsidRPr="008C305E" w:rsidRDefault="00100B16" w:rsidP="00100B16">
            <w:pPr>
              <w:pStyle w:val="a4"/>
              <w:numPr>
                <w:ilvl w:val="0"/>
                <w:numId w:val="16"/>
              </w:numPr>
              <w:shd w:val="clear" w:color="auto" w:fill="FBFBFB"/>
              <w:spacing w:before="0" w:beforeAutospacing="0" w:after="0" w:afterAutospacing="0"/>
              <w:rPr>
                <w:lang w:val="uk-UA"/>
              </w:rPr>
            </w:pPr>
            <w:r w:rsidRPr="008C305E">
              <w:rPr>
                <w:lang w:val="uk-UA"/>
              </w:rPr>
              <w:t xml:space="preserve">Здатність здійснювати оцінювання та моніторинг результатів навчання учнів на засадах </w:t>
            </w:r>
            <w:proofErr w:type="spellStart"/>
            <w:r w:rsidRPr="008C305E">
              <w:rPr>
                <w:lang w:val="uk-UA"/>
              </w:rPr>
              <w:t>компетентнісного</w:t>
            </w:r>
            <w:proofErr w:type="spellEnd"/>
            <w:r w:rsidRPr="008C305E">
              <w:rPr>
                <w:lang w:val="uk-UA"/>
              </w:rPr>
              <w:t xml:space="preserve"> підходу</w:t>
            </w:r>
          </w:p>
          <w:p w14:paraId="52C80DF8" w14:textId="77777777" w:rsidR="00100B16" w:rsidRPr="008C305E" w:rsidRDefault="00100B16" w:rsidP="00100B16">
            <w:pPr>
              <w:pStyle w:val="a4"/>
              <w:shd w:val="clear" w:color="auto" w:fill="FBFBFB"/>
              <w:spacing w:before="0" w:beforeAutospacing="0" w:after="0" w:afterAutospacing="0"/>
              <w:ind w:left="720"/>
              <w:rPr>
                <w:lang w:val="uk-UA"/>
              </w:rPr>
            </w:pPr>
          </w:p>
        </w:tc>
      </w:tr>
      <w:tr w:rsidR="004B1612" w:rsidRPr="008C305E" w14:paraId="73204CF6" w14:textId="77777777" w:rsidTr="00B50518">
        <w:tc>
          <w:tcPr>
            <w:tcW w:w="2799" w:type="dxa"/>
          </w:tcPr>
          <w:p w14:paraId="4C4AF091" w14:textId="77777777" w:rsidR="004B1612" w:rsidRPr="008C305E" w:rsidRDefault="00763262" w:rsidP="005058BC">
            <w:pPr>
              <w:pStyle w:val="a4"/>
              <w:spacing w:before="240" w:beforeAutospacing="0" w:after="240" w:afterAutospacing="0"/>
              <w:rPr>
                <w:b/>
                <w:bCs/>
                <w:color w:val="000000"/>
                <w:lang w:val="uk-UA"/>
              </w:rPr>
            </w:pPr>
            <w:r w:rsidRPr="008C305E">
              <w:rPr>
                <w:b/>
                <w:bCs/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6835" w:type="dxa"/>
          </w:tcPr>
          <w:p w14:paraId="71FBB946" w14:textId="77777777" w:rsidR="00763262" w:rsidRPr="008C305E" w:rsidRDefault="00763262" w:rsidP="00763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тренінгу зможуть:</w:t>
            </w:r>
          </w:p>
          <w:p w14:paraId="60FFA106" w14:textId="52C92F82" w:rsidR="00100B16" w:rsidRPr="008C305E" w:rsidRDefault="00EA71BA" w:rsidP="00100B1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1726C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озуміти</w:t>
            </w:r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</w:t>
            </w:r>
            <w:r w:rsidR="0031726C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психічних процесів</w:t>
            </w:r>
            <w:r w:rsidR="008F1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 у стресових та травматичних ситуаціях; причинно-наслідкових </w:t>
            </w:r>
            <w:proofErr w:type="spellStart"/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психічними процесами та поведінковими проявами учнів</w:t>
            </w: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9D140EA" w14:textId="77777777" w:rsidR="00100B16" w:rsidRPr="008C305E" w:rsidRDefault="00EA71BA" w:rsidP="00100B1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1726C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озуміти</w:t>
            </w:r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психолого-педагогічні особливості здійснення взаємодії між суб’єктами освітнього процесу</w:t>
            </w: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BB433C3" w14:textId="77777777" w:rsidR="00100B16" w:rsidRPr="008C305E" w:rsidRDefault="00EA71BA" w:rsidP="00100B1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розрізняти</w:t>
            </w:r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моделі змішаного навчання, особливості організації дистанційного навчання</w:t>
            </w: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B32A91D" w14:textId="77777777" w:rsidR="00100B16" w:rsidRPr="008C305E" w:rsidRDefault="00EA71BA" w:rsidP="00100B1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</w:t>
            </w:r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проведення навчальних занять в умовах дистанційного навчання</w:t>
            </w: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18E9F50" w14:textId="77777777" w:rsidR="00100B16" w:rsidRPr="008C305E" w:rsidRDefault="00100B16" w:rsidP="00100B1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застосовувати техніки активізації уваги, підвищення мотивації, гармонізації емоційного стану учнів</w:t>
            </w:r>
            <w:r w:rsidR="00EA71BA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782C1D8" w14:textId="77777777" w:rsidR="00100B16" w:rsidRPr="008C305E" w:rsidRDefault="00100B16" w:rsidP="00100B1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гнучке планування освітнього процесу</w:t>
            </w:r>
            <w:r w:rsidR="00EA71BA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E531FA9" w14:textId="77777777" w:rsidR="00100B16" w:rsidRPr="008C305E" w:rsidRDefault="00100B16" w:rsidP="00100B1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вести навчальний діалог та </w:t>
            </w:r>
            <w:proofErr w:type="spellStart"/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полілог</w:t>
            </w:r>
            <w:proofErr w:type="spellEnd"/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учнями</w:t>
            </w:r>
            <w:r w:rsidR="00EA71BA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5F265F9" w14:textId="77777777" w:rsidR="00100B16" w:rsidRPr="008C305E" w:rsidRDefault="00EA71BA" w:rsidP="00100B1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</w:t>
            </w:r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 </w:t>
            </w: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досягнень </w:t>
            </w:r>
            <w:r w:rsidR="00100B16"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в умовах дистанційного навчання.</w:t>
            </w:r>
          </w:p>
          <w:p w14:paraId="0F3EB131" w14:textId="77777777" w:rsidR="004B1612" w:rsidRPr="008C305E" w:rsidRDefault="004B1612" w:rsidP="00100B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612" w:rsidRPr="008C305E" w14:paraId="7F4AFE3C" w14:textId="77777777" w:rsidTr="00B50518">
        <w:tc>
          <w:tcPr>
            <w:tcW w:w="2799" w:type="dxa"/>
          </w:tcPr>
          <w:p w14:paraId="393560FE" w14:textId="77777777" w:rsidR="004B1612" w:rsidRPr="008C305E" w:rsidRDefault="00CE72DC" w:rsidP="005058BC">
            <w:pPr>
              <w:pStyle w:val="a4"/>
              <w:spacing w:before="240" w:beforeAutospacing="0" w:after="240" w:afterAutospacing="0"/>
              <w:rPr>
                <w:b/>
                <w:bCs/>
                <w:color w:val="000000"/>
                <w:lang w:val="uk-UA"/>
              </w:rPr>
            </w:pPr>
            <w:r w:rsidRPr="008C305E">
              <w:rPr>
                <w:b/>
                <w:bCs/>
                <w:color w:val="000000"/>
                <w:lang w:val="uk-UA"/>
              </w:rPr>
              <w:lastRenderedPageBreak/>
              <w:t>Документ, що видається за результатами підвищення кваліфікації</w:t>
            </w:r>
          </w:p>
        </w:tc>
        <w:tc>
          <w:tcPr>
            <w:tcW w:w="6835" w:type="dxa"/>
          </w:tcPr>
          <w:p w14:paraId="4FD6D234" w14:textId="77777777" w:rsidR="004B1612" w:rsidRPr="008C305E" w:rsidRDefault="00100B16" w:rsidP="00505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</w:tr>
    </w:tbl>
    <w:p w14:paraId="5993F72D" w14:textId="77777777" w:rsidR="009B12BB" w:rsidRDefault="009B12BB" w:rsidP="00CE72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7D90C3" w14:textId="77777777" w:rsidR="009B12BB" w:rsidRDefault="009B12B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7B0852D5" w14:textId="1C7E61E0" w:rsidR="00CE72DC" w:rsidRPr="008C305E" w:rsidRDefault="00CE72DC" w:rsidP="00CE72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Зміст програми тренінгу</w:t>
      </w:r>
    </w:p>
    <w:p w14:paraId="095EAC25" w14:textId="77777777" w:rsidR="00CE72DC" w:rsidRPr="008C305E" w:rsidRDefault="00CE72DC" w:rsidP="00CE7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t>Модуль 1</w:t>
      </w:r>
    </w:p>
    <w:p w14:paraId="0FFEB72D" w14:textId="77777777" w:rsidR="001858F9" w:rsidRPr="008C305E" w:rsidRDefault="001858F9" w:rsidP="00593698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t>Психологія взаємодії учителя та учня під час дистанційного навчання</w:t>
      </w:r>
      <w:r w:rsidRPr="008C30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9C5E183" w14:textId="77777777" w:rsidR="00DB5C8F" w:rsidRPr="008C305E" w:rsidRDefault="00B50518" w:rsidP="00DB5C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Когнітивні процеси учнів в умовах стресового стану. </w:t>
      </w:r>
      <w:r w:rsidR="00DB5C8F"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Вплив стресових станів на школярів різного віку. Особливості поведінкових проявів та протікання психічних пізнавальних процесів у дітей шкільного віку в час війни. Вплив стресу на когнітивні функції школярів, зокрема увагу та пам’ять. </w:t>
      </w:r>
    </w:p>
    <w:p w14:paraId="77691FD9" w14:textId="77777777" w:rsidR="00DB5C8F" w:rsidRPr="008C305E" w:rsidRDefault="00DB5C8F" w:rsidP="00DB5C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t>Способи та особливості реагування на стресові чинники. Про таємниці мозку мовою дітей: як допомогти школярам зрозуміти себе - свої почуття й поведінку, й навчитися самоконтролю.</w:t>
      </w:r>
    </w:p>
    <w:p w14:paraId="16F7D00E" w14:textId="77777777" w:rsidR="00DB5C8F" w:rsidRPr="008C305E" w:rsidRDefault="00DB5C8F" w:rsidP="00DB5C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Значення й цінність якісної комунікації з учнями, «дарування» відчуття безпеки й рутини, психологічної підтримки, створення атмосфери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розвантаженості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BF56541" w14:textId="77777777" w:rsidR="00DB5C8F" w:rsidRPr="008C305E" w:rsidRDefault="00DB5C8F" w:rsidP="00DB5C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Ресурс педагога: про що важливо пам’ятати. Плекаємо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резилієнтність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або щоденний вибір стійкості як незмінний вибір педагога. Низка умов для щоденного тренінгу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стійкоті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за Олегом Романчуком. </w:t>
      </w:r>
    </w:p>
    <w:p w14:paraId="503A42FB" w14:textId="77777777" w:rsidR="00DB5C8F" w:rsidRPr="008C305E" w:rsidRDefault="00DB5C8F" w:rsidP="00DB5C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Арт-терапія як засіб вільного самовираження та джерело позитивних емоцій. Функції арт-терапії. Види арт-терапії та переваги й необхідність застосування їх під час шкільних онлайн-уроків. Низка арт-технік для школярів, особливо цінних у праці педагога в час війни. </w:t>
      </w:r>
    </w:p>
    <w:p w14:paraId="66288540" w14:textId="67276021" w:rsidR="00B50518" w:rsidRPr="008C305E" w:rsidRDefault="00DB5C8F" w:rsidP="00DB5C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робота.</w:t>
      </w: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Аналіз досліджень згідно </w:t>
      </w:r>
      <w:r w:rsidR="00AD6A3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8C305E">
        <w:rPr>
          <w:rFonts w:ascii="Times New Roman" w:hAnsi="Times New Roman" w:cs="Times New Roman"/>
          <w:sz w:val="24"/>
          <w:szCs w:val="24"/>
          <w:lang w:val="uk-UA"/>
        </w:rPr>
        <w:t>тем</w:t>
      </w:r>
      <w:r w:rsidR="00AD6A33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модуля та творчих завдань. Розроблення «Порадника для вчителя». Творча власна адаптація різних видів арт-терапії до тематики змісту шкільних предметів.</w:t>
      </w:r>
      <w:r w:rsidR="00AD6A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518"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Підтримка учителя та учня під час дистанційного навчання. Як включити учня в </w:t>
      </w:r>
      <w:proofErr w:type="spellStart"/>
      <w:r w:rsidR="00B50518" w:rsidRPr="008C305E">
        <w:rPr>
          <w:rFonts w:ascii="Times New Roman" w:hAnsi="Times New Roman" w:cs="Times New Roman"/>
          <w:sz w:val="24"/>
          <w:szCs w:val="24"/>
          <w:lang w:val="uk-UA"/>
        </w:rPr>
        <w:t>онлайнурок</w:t>
      </w:r>
      <w:proofErr w:type="spellEnd"/>
      <w:r w:rsidR="00B50518"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: техніки для вчителя. Техніки </w:t>
      </w:r>
      <w:proofErr w:type="spellStart"/>
      <w:r w:rsidR="00B50518" w:rsidRPr="008C305E">
        <w:rPr>
          <w:rFonts w:ascii="Times New Roman" w:hAnsi="Times New Roman" w:cs="Times New Roman"/>
          <w:sz w:val="24"/>
          <w:szCs w:val="24"/>
          <w:lang w:val="uk-UA"/>
        </w:rPr>
        <w:t>арттерапії</w:t>
      </w:r>
      <w:proofErr w:type="spellEnd"/>
      <w:r w:rsidR="00B50518"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для гармонізації емоційного стану учнів під час уроку.</w:t>
      </w:r>
    </w:p>
    <w:p w14:paraId="3B8CE1EF" w14:textId="77777777" w:rsidR="00593698" w:rsidRPr="008C305E" w:rsidRDefault="00593698" w:rsidP="00DB5C8F">
      <w:pPr>
        <w:spacing w:after="24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30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B5C8F" w:rsidRPr="008C305E">
        <w:rPr>
          <w:rFonts w:ascii="Times New Roman" w:hAnsi="Times New Roman" w:cs="Times New Roman"/>
          <w:sz w:val="24"/>
          <w:szCs w:val="24"/>
          <w:lang w:val="uk-UA"/>
        </w:rPr>
        <w:t>Розроблення творчих завдань для учнів.</w:t>
      </w:r>
    </w:p>
    <w:p w14:paraId="26C46711" w14:textId="77777777" w:rsidR="001858F9" w:rsidRPr="008C305E" w:rsidRDefault="001858F9" w:rsidP="00CE72DC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57B2B777" w14:textId="77777777" w:rsidR="00CE72DC" w:rsidRPr="008C305E" w:rsidRDefault="00CE72DC" w:rsidP="00CE7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t>Модуль 2</w:t>
      </w:r>
    </w:p>
    <w:p w14:paraId="7E352439" w14:textId="77777777" w:rsidR="001858F9" w:rsidRPr="008C305E" w:rsidRDefault="001858F9" w:rsidP="008E1B38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Дистанційне навчання </w:t>
      </w:r>
      <w:r w:rsidR="002E1781" w:rsidRPr="008C30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t>воєнний та післявоєнний час</w:t>
      </w:r>
      <w:r w:rsidRPr="008C305E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 </w:t>
      </w:r>
    </w:p>
    <w:p w14:paraId="57BB904C" w14:textId="77777777" w:rsidR="00B808DB" w:rsidRPr="008C305E" w:rsidRDefault="00B50518" w:rsidP="00B5051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 чого залежить ефективність дистанційного навчання</w:t>
      </w:r>
      <w:r w:rsidR="00B808DB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Моделі змішаного навчання. Інструменти дистанційного навчання. Синхронний та асинхронний режим дистанційного навчання. Особливості дистанційного уроку.</w:t>
      </w:r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19B9B89" w14:textId="77777777" w:rsidR="00B808DB" w:rsidRPr="008C305E" w:rsidRDefault="00B50518" w:rsidP="00B505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Гнучке календарно-тематичне планування. </w:t>
      </w:r>
      <w:r w:rsidR="00B808DB" w:rsidRPr="008C30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Адаптація календарного плану. Як вхідне діагностування може впливати на календарне планування. </w:t>
      </w:r>
    </w:p>
    <w:p w14:paraId="59AAAE22" w14:textId="77777777" w:rsidR="00B808DB" w:rsidRPr="008C305E" w:rsidRDefault="00B50518" w:rsidP="00B50518">
      <w:pPr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</w:pPr>
      <w:r w:rsidRPr="008C305E"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  <w:t xml:space="preserve">Діалог та </w:t>
      </w:r>
      <w:proofErr w:type="spellStart"/>
      <w:r w:rsidRPr="008C305E"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  <w:t>полілог</w:t>
      </w:r>
      <w:proofErr w:type="spellEnd"/>
      <w:r w:rsidRPr="008C305E"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  <w:t xml:space="preserve"> на дистанційному </w:t>
      </w:r>
      <w:proofErr w:type="spellStart"/>
      <w:r w:rsidRPr="008C305E"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  <w:t>уроці</w:t>
      </w:r>
      <w:proofErr w:type="spellEnd"/>
      <w:r w:rsidRPr="008C305E"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  <w:t xml:space="preserve">. </w:t>
      </w:r>
      <w:r w:rsidR="00B808DB" w:rsidRPr="008C305E"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  <w:t xml:space="preserve">Методи ведення навчального діалогу. Як ставити проблемні запитання. Мозкова атака: прийоми проведення на дистанційному </w:t>
      </w:r>
      <w:proofErr w:type="spellStart"/>
      <w:r w:rsidR="00B808DB" w:rsidRPr="008C305E"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  <w:t>уроці</w:t>
      </w:r>
      <w:proofErr w:type="spellEnd"/>
      <w:r w:rsidR="00B808DB" w:rsidRPr="008C305E">
        <w:rPr>
          <w:rFonts w:ascii="Times New Roman" w:eastAsia="Arial" w:hAnsi="Times New Roman" w:cs="Times New Roman"/>
          <w:color w:val="222222"/>
          <w:sz w:val="24"/>
          <w:szCs w:val="24"/>
          <w:lang w:val="uk-UA"/>
        </w:rPr>
        <w:t xml:space="preserve">. Використання чату для залучення учнів до віртуального діалогу. </w:t>
      </w:r>
    </w:p>
    <w:p w14:paraId="03E7469E" w14:textId="6C9FC347" w:rsidR="00B808DB" w:rsidRPr="008C305E" w:rsidRDefault="00B50518" w:rsidP="00B5051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Діяльнісні методи під час дистанційного навчання. </w:t>
      </w:r>
      <w:r w:rsidR="00B808DB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Дослідження та </w:t>
      </w:r>
      <w:proofErr w:type="spellStart"/>
      <w:r w:rsidR="00B808DB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</w:t>
      </w:r>
      <w:r w:rsidR="00AD6A3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 w:rsidR="00B808DB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кти</w:t>
      </w:r>
      <w:proofErr w:type="spellEnd"/>
      <w:r w:rsidR="00B808DB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 умови їх застосування під час дистанційного навчання. Моделювання, види моделей. Підходи до їх створення.</w:t>
      </w:r>
    </w:p>
    <w:p w14:paraId="5A8CBCF7" w14:textId="77777777" w:rsidR="00B808DB" w:rsidRPr="008C305E" w:rsidRDefault="00B50518" w:rsidP="00B5051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Покрокові інструкції для самостійної роботи: чому це важливо. </w:t>
      </w:r>
      <w:r w:rsidR="00B808DB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Дозування матеріалу. Завдання для опрацювання</w:t>
      </w:r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текстів. Прийоми роботи з навчальними текстами. Перетворення текстів в інші форми: графічну, матричну, художньо-образну.</w:t>
      </w:r>
    </w:p>
    <w:p w14:paraId="643A37F4" w14:textId="77777777" w:rsidR="00B50518" w:rsidRPr="008C305E" w:rsidRDefault="00B50518" w:rsidP="00B50518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Оцінювання під час дистанційного навчання</w:t>
      </w:r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Компетентнісний</w:t>
      </w:r>
      <w:proofErr w:type="spellEnd"/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підхід до оцінювання в умовах дистанційного навчання. </w:t>
      </w:r>
      <w:proofErr w:type="spellStart"/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Компетентнісні</w:t>
      </w:r>
      <w:proofErr w:type="spellEnd"/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завдання. Таксономія </w:t>
      </w:r>
      <w:proofErr w:type="spellStart"/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Блума</w:t>
      </w:r>
      <w:proofErr w:type="spellEnd"/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розробленні </w:t>
      </w:r>
      <w:proofErr w:type="spellStart"/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компетентісних</w:t>
      </w:r>
      <w:proofErr w:type="spellEnd"/>
      <w:r w:rsidR="0076201D" w:rsidRPr="008C30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завдань. Критерії оцінювання завдань. Формувальне оцінювання. Способи надання зворотного зв’язку на дистанційному навчанні.</w:t>
      </w:r>
    </w:p>
    <w:p w14:paraId="28817EE2" w14:textId="77777777" w:rsidR="00593698" w:rsidRPr="008C305E" w:rsidRDefault="00593698" w:rsidP="001858F9">
      <w:pPr>
        <w:spacing w:after="24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30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Практична робота. </w:t>
      </w:r>
      <w:r w:rsidR="002E1781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Розроблення та адаптація календарно-тематичних планів з урахуванням різних навчальних ситуацій. Розроблення ключових питань для діалогу. Моделювання навчальних діалогів. </w:t>
      </w:r>
      <w:r w:rsidR="00086515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розроблених дослідницьких та творчих завдань</w:t>
      </w:r>
      <w:r w:rsidR="002E1781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C35258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розроблених </w:t>
      </w:r>
      <w:r w:rsidR="002E1781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покрокових інструкцій для самостійної роботи. </w:t>
      </w:r>
      <w:r w:rsidR="00C35258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</w:t>
      </w:r>
      <w:r w:rsidR="002E1781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завдань та критеріїв їх оцінювання під час дистанційного навчання.</w:t>
      </w:r>
    </w:p>
    <w:p w14:paraId="0AED6584" w14:textId="77777777" w:rsidR="00C35258" w:rsidRPr="008C305E" w:rsidRDefault="00593698" w:rsidP="00C35258">
      <w:pPr>
        <w:spacing w:after="24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30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Самостійна робота. </w:t>
      </w:r>
      <w:r w:rsidR="002E1781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календарно-тематичних планів, порівняння їх з навчальними програмами </w:t>
      </w:r>
      <w:r w:rsidR="00086515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змістом підручників. Розроблення дослідницьких </w:t>
      </w:r>
      <w:r w:rsidR="00C35258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творчих </w:t>
      </w:r>
      <w:r w:rsidR="00086515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C35258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086515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дань</w:t>
      </w:r>
      <w:r w:rsidR="00C35258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Розроблення покрокових інструкцій для самостійної роботи. Розроблення завдань та критеріїв їх оцінювання під час дистанційного навчання.</w:t>
      </w:r>
    </w:p>
    <w:p w14:paraId="505C4262" w14:textId="77777777" w:rsidR="00593698" w:rsidRPr="008C305E" w:rsidRDefault="00593698" w:rsidP="00CE72DC">
      <w:pPr>
        <w:spacing w:line="240" w:lineRule="auto"/>
        <w:jc w:val="center"/>
        <w:rPr>
          <w:b/>
          <w:sz w:val="28"/>
          <w:szCs w:val="28"/>
          <w:highlight w:val="yellow"/>
          <w:lang w:val="uk-UA"/>
        </w:rPr>
      </w:pPr>
    </w:p>
    <w:p w14:paraId="7E6B83BD" w14:textId="77777777" w:rsidR="00B94F83" w:rsidRPr="008C305E" w:rsidRDefault="00B94F83" w:rsidP="00B94F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05E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годин за видами навчальної діяльності</w:t>
      </w:r>
    </w:p>
    <w:tbl>
      <w:tblPr>
        <w:tblStyle w:val="1"/>
        <w:tblW w:w="10206" w:type="dxa"/>
        <w:tblInd w:w="-5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819"/>
        <w:gridCol w:w="992"/>
        <w:gridCol w:w="1143"/>
        <w:gridCol w:w="1417"/>
        <w:gridCol w:w="1406"/>
        <w:gridCol w:w="1429"/>
      </w:tblGrid>
      <w:tr w:rsidR="00EF0C16" w:rsidRPr="008C305E" w14:paraId="7C51156E" w14:textId="77777777" w:rsidTr="00EF0C16">
        <w:tc>
          <w:tcPr>
            <w:tcW w:w="381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7DA9D734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Назва розділів і тем</w:t>
            </w:r>
          </w:p>
        </w:tc>
        <w:tc>
          <w:tcPr>
            <w:tcW w:w="63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7B1D54E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Кількість годин</w:t>
            </w:r>
          </w:p>
        </w:tc>
      </w:tr>
      <w:tr w:rsidR="00EF0C16" w:rsidRPr="008C305E" w14:paraId="31CF0836" w14:textId="77777777" w:rsidTr="00EF0C16">
        <w:tc>
          <w:tcPr>
            <w:tcW w:w="381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4DB02627" w14:textId="77777777" w:rsidR="00EF0C16" w:rsidRPr="008C305E" w:rsidRDefault="00EF0C16" w:rsidP="00C95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79B4967B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Всього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FFDF79A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6D109FCA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у тому числі</w:t>
            </w:r>
          </w:p>
        </w:tc>
      </w:tr>
      <w:tr w:rsidR="00EF0C16" w:rsidRPr="008C305E" w14:paraId="2241B463" w14:textId="77777777" w:rsidTr="00EF0C16">
        <w:tc>
          <w:tcPr>
            <w:tcW w:w="381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6E7AD4F5" w14:textId="77777777" w:rsidR="00EF0C16" w:rsidRPr="008C305E" w:rsidRDefault="00EF0C16" w:rsidP="00C95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7948B6EF" w14:textId="77777777" w:rsidR="00EF0C16" w:rsidRPr="008C305E" w:rsidRDefault="00EF0C16" w:rsidP="00C95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59ED972" w14:textId="77777777" w:rsidR="00EF0C16" w:rsidRPr="008C305E" w:rsidRDefault="00EF0C16" w:rsidP="00BE4CCF">
            <w:pPr>
              <w:spacing w:after="0" w:line="240" w:lineRule="auto"/>
              <w:ind w:firstLine="123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Лекційні заняття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6A08D689" w14:textId="77777777" w:rsidR="00EF0C16" w:rsidRPr="008C305E" w:rsidRDefault="00EF0C16" w:rsidP="00BE4CCF">
            <w:pPr>
              <w:spacing w:after="0" w:line="240" w:lineRule="auto"/>
              <w:ind w:firstLine="123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Практичні заняття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701B23CD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Тестування</w:t>
            </w: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  <w:vAlign w:val="center"/>
          </w:tcPr>
          <w:p w14:paraId="5C396E1A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Самостійна робота</w:t>
            </w:r>
          </w:p>
        </w:tc>
      </w:tr>
      <w:tr w:rsidR="00EF0C16" w:rsidRPr="008C305E" w14:paraId="41097851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DB204BE" w14:textId="77777777" w:rsidR="00EF0C16" w:rsidRPr="008C305E" w:rsidRDefault="00EF0C16" w:rsidP="0038623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</w:t>
            </w:r>
            <w:r w:rsidRPr="008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Психологія взаємодії учителя та учня під час дистанційного навчання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416CD181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14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06AE0B99" w14:textId="77777777" w:rsidR="00EF0C16" w:rsidRPr="008C305E" w:rsidRDefault="00214AF0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DFF95DE" w14:textId="77777777" w:rsidR="00EF0C16" w:rsidRPr="008C305E" w:rsidRDefault="00214AF0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12542B6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D7D0A84" w14:textId="77777777" w:rsidR="00EF0C16" w:rsidRPr="008C305E" w:rsidRDefault="00214AF0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8</w:t>
            </w:r>
          </w:p>
        </w:tc>
      </w:tr>
      <w:tr w:rsidR="00EF0C16" w:rsidRPr="008C305E" w14:paraId="7E0AF09D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35999C3" w14:textId="77777777" w:rsidR="00EF0C16" w:rsidRPr="008C305E" w:rsidRDefault="00EF0C16" w:rsidP="00B50518">
            <w:pPr>
              <w:pStyle w:val="a5"/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Когнітивні процеси учнів в умовах стресового стану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F6C9B9E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449AC4B4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00791219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FB8015B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118C359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F0C16" w:rsidRPr="008C305E" w14:paraId="4478C15D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04BDBB96" w14:textId="77777777" w:rsidR="00EF0C16" w:rsidRPr="008C305E" w:rsidRDefault="00EF0C16" w:rsidP="006F6059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1.2. </w:t>
            </w:r>
            <w:r w:rsidR="006F6059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Підтримка </w:t>
            </w:r>
            <w:r w:rsidR="00BE5957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та </w:t>
            </w:r>
            <w:r w:rsidR="006F6059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учня під час дистанційного навчання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DD22967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028B524D" w14:textId="77777777" w:rsidR="00EF0C16" w:rsidRPr="008C305E" w:rsidRDefault="00BE5957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5E10D72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5CD8E1C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09D17B6D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</w:t>
            </w:r>
          </w:p>
        </w:tc>
      </w:tr>
      <w:tr w:rsidR="00EF0C16" w:rsidRPr="008C305E" w14:paraId="28BCE66E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79EF289" w14:textId="77777777" w:rsidR="00EF0C16" w:rsidRPr="008C305E" w:rsidRDefault="00EF0C16" w:rsidP="006F6059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1.3. </w:t>
            </w:r>
            <w:r w:rsidR="006F6059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Як включити учня в </w:t>
            </w:r>
            <w:proofErr w:type="spellStart"/>
            <w:r w:rsidR="006F6059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онлайнурок</w:t>
            </w:r>
            <w:proofErr w:type="spellEnd"/>
            <w:r w:rsidR="006F6059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техніки для вчителя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7CB653C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0F7851E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2BA8CF8" w14:textId="77777777" w:rsidR="00EF0C16" w:rsidRPr="008C305E" w:rsidRDefault="00BE5957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9BEBAFE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5188541" w14:textId="77777777" w:rsidR="00EF0C16" w:rsidRPr="008C305E" w:rsidRDefault="00214AF0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3</w:t>
            </w:r>
          </w:p>
        </w:tc>
      </w:tr>
      <w:tr w:rsidR="00EF0C16" w:rsidRPr="008C305E" w14:paraId="6DC57CBC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1E0DF4D" w14:textId="77777777" w:rsidR="00EF0C16" w:rsidRPr="008C305E" w:rsidRDefault="00EF0C16" w:rsidP="00BE5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1.4. </w:t>
            </w:r>
            <w:r w:rsidR="00BE5957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Техніки </w:t>
            </w:r>
            <w:proofErr w:type="spellStart"/>
            <w:r w:rsidR="00BE5957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арттерапії</w:t>
            </w:r>
            <w:proofErr w:type="spellEnd"/>
            <w:r w:rsidR="00BE5957"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гармонізації емоційного стану учнів під час уроку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AE388E7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607F08A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9A3CA2E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B901DB3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2D057CF" w14:textId="77777777" w:rsidR="00EF0C16" w:rsidRPr="008C305E" w:rsidRDefault="00214AF0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3</w:t>
            </w:r>
          </w:p>
        </w:tc>
      </w:tr>
      <w:tr w:rsidR="00EF0C16" w:rsidRPr="008C305E" w14:paraId="09CD1D46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4C4F1EA6" w14:textId="77777777" w:rsidR="00EF0C16" w:rsidRPr="008C305E" w:rsidRDefault="00EF0C16" w:rsidP="0038623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  <w:r w:rsidRPr="008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Дистанційне навчання </w:t>
            </w:r>
            <w:r w:rsidR="002E1781" w:rsidRPr="008C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8C305E">
              <w:rPr>
                <w:rFonts w:ascii="Times New Roman" w:hAnsi="Times New Roman" w:cs="Times New Roman"/>
                <w:b/>
                <w:sz w:val="24"/>
                <w:szCs w:val="24"/>
              </w:rPr>
              <w:t>воєнний та післявоєнний час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257A4F1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475F74D6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41213EE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493514D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2A2C786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0C16" w:rsidRPr="008C305E" w14:paraId="01F0484F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CE8C5BF" w14:textId="77777777" w:rsidR="00EF0C16" w:rsidRPr="008C305E" w:rsidRDefault="00EF0C16" w:rsidP="00386230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 Від чого залежить ефективність дистанційного навчання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8F6F685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55C26C2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B479D2B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5655967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C23BC00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F0C16" w:rsidRPr="008C305E" w14:paraId="4D93377A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A12BF5C" w14:textId="77777777" w:rsidR="00EF0C16" w:rsidRPr="008C305E" w:rsidRDefault="00EF0C16" w:rsidP="0038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3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 Гнучке календарно-тематичне планування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C442343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D098F0B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2C15A56" w14:textId="77777777" w:rsidR="00EF0C16" w:rsidRPr="008C305E" w:rsidRDefault="00E0298F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EB357B5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13872A6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</w:t>
            </w:r>
          </w:p>
        </w:tc>
      </w:tr>
      <w:tr w:rsidR="00EF0C16" w:rsidRPr="008C305E" w14:paraId="4475D59A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3C40FC0" w14:textId="77777777" w:rsidR="00EF0C16" w:rsidRPr="008C305E" w:rsidRDefault="00EF0C16" w:rsidP="00386230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2.3. Діалог та </w:t>
            </w:r>
            <w:proofErr w:type="spellStart"/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полілог</w:t>
            </w:r>
            <w:proofErr w:type="spellEnd"/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на дистанційному </w:t>
            </w:r>
            <w:proofErr w:type="spellStart"/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уроці</w:t>
            </w:r>
            <w:proofErr w:type="spellEnd"/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39CF6B7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7B1ACA3" w14:textId="77777777" w:rsidR="00EF0C16" w:rsidRPr="008C305E" w:rsidRDefault="00E0298F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638C11B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A55051F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AB247B6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F0C16" w:rsidRPr="008C305E" w14:paraId="0576DBA0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7904F88" w14:textId="77777777" w:rsidR="00EF0C16" w:rsidRPr="008C305E" w:rsidRDefault="00EF0C16" w:rsidP="00EF0C16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2.4. Діяльнісні методи під час дистанційного навчання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76480565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4403F099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631EFA0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4C2C95C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FB3880A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</w:tr>
      <w:tr w:rsidR="00EF0C16" w:rsidRPr="008C305E" w14:paraId="6441217E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BD4437F" w14:textId="77777777" w:rsidR="00EF0C16" w:rsidRPr="008C305E" w:rsidRDefault="00EF0C16" w:rsidP="00EF0C16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 Покрокові інструкції для самостійної роботи: чому це важливо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92E25B8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A69E1BA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B058D44" w14:textId="77777777" w:rsidR="00EF0C16" w:rsidRPr="008C305E" w:rsidRDefault="00E0298F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0F092460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CC532F7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</w:t>
            </w:r>
          </w:p>
        </w:tc>
      </w:tr>
      <w:tr w:rsidR="00EF0C16" w:rsidRPr="008C305E" w14:paraId="3DE051EE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1AED10A" w14:textId="77777777" w:rsidR="00EF0C16" w:rsidRPr="008C305E" w:rsidRDefault="00EF0C16" w:rsidP="00EF0C16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2.6. Оцінювання під час дистанційного навчання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A96468D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121D4181" w14:textId="77777777" w:rsidR="00EF0C16" w:rsidRPr="008C305E" w:rsidRDefault="00E0298F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0766A0C6" w14:textId="77777777" w:rsidR="00EF0C16" w:rsidRPr="008C305E" w:rsidRDefault="00E0298F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0732742C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59F5DDA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C16" w:rsidRPr="008C305E" w14:paraId="5A1A7B25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1B3FA37" w14:textId="77777777" w:rsidR="00EF0C16" w:rsidRPr="008C305E" w:rsidRDefault="00EF0C16" w:rsidP="00C954FC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Підсумкове тестування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092F941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1711452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A25623B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7366678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2D05FF28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  <w:tr w:rsidR="00EF0C16" w:rsidRPr="008C305E" w14:paraId="6F7F966D" w14:textId="77777777" w:rsidTr="00EF0C16">
        <w:tc>
          <w:tcPr>
            <w:tcW w:w="3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44F31D92" w14:textId="77777777" w:rsidR="00EF0C16" w:rsidRPr="008C305E" w:rsidRDefault="00EF0C16" w:rsidP="00C954FC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3DC24FCB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627BEBD8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4713BA26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AD9273C" w14:textId="77777777" w:rsidR="00EF0C16" w:rsidRPr="008C305E" w:rsidRDefault="00EF0C16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BFBFB"/>
          </w:tcPr>
          <w:p w14:paraId="57C3040F" w14:textId="77777777" w:rsidR="00EF0C16" w:rsidRPr="008C305E" w:rsidRDefault="001858F9" w:rsidP="00C954FC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8C3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0CBAD1C8" w14:textId="77777777" w:rsidR="00B94F83" w:rsidRPr="008C305E" w:rsidRDefault="00B94F83" w:rsidP="00B94F8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0E94A2" w14:textId="77777777" w:rsidR="00B94F83" w:rsidRPr="008C305E" w:rsidRDefault="00B94F83" w:rsidP="00DB5C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</w:t>
      </w:r>
    </w:p>
    <w:p w14:paraId="286906C9" w14:textId="77777777" w:rsidR="001858F9" w:rsidRPr="008C305E" w:rsidRDefault="001858F9" w:rsidP="00B94F8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b/>
          <w:sz w:val="24"/>
          <w:szCs w:val="24"/>
          <w:lang w:val="uk-UA"/>
        </w:rPr>
        <w:t>Модуль 1</w:t>
      </w:r>
    </w:p>
    <w:p w14:paraId="60361147" w14:textId="77777777" w:rsidR="00DB5C8F" w:rsidRPr="008C305E" w:rsidRDefault="00DB5C8F" w:rsidP="00214AF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Наугольник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Л. Б. Психологія стресу: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підр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. Львів: Львівський державний університет внутрішніх справ, 2015. 324 с. </w:t>
      </w:r>
    </w:p>
    <w:p w14:paraId="1541BCD8" w14:textId="77777777" w:rsidR="00214AF0" w:rsidRPr="008C305E" w:rsidRDefault="00214AF0" w:rsidP="00214AF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t>Практикум по арт-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терапии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: шкатулка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мастера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: науч.-метод.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/ Е.В.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Тарарина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Луганск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: Элтон-2, 2013.</w:t>
      </w:r>
    </w:p>
    <w:p w14:paraId="15F65B1A" w14:textId="77777777" w:rsidR="00214AF0" w:rsidRPr="008C305E" w:rsidRDefault="00214AF0" w:rsidP="00214AF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Романчук Олег. Психологічна стійкість подібна до м’язів: тренуєш їх правильно – вони ростуть. // Український Католицький Університет / </w:t>
      </w:r>
      <w:hyperlink r:id="rId6" w:tgtFrame="_blank" w:history="1">
        <w:r w:rsidRPr="008C305E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https://ucu.edu.ua/news/oleg-romanchuk-psyhologichna-stijkist-podibna-do-m-yaziv-trenuyesh-yih-pravylno-vony-rostut/</w:t>
        </w:r>
      </w:hyperlink>
    </w:p>
    <w:p w14:paraId="2711A381" w14:textId="77777777" w:rsidR="00214AF0" w:rsidRPr="008C305E" w:rsidRDefault="00214AF0" w:rsidP="00214AF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Сигел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Д.,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Брайсон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Т. Секрети мозку / Д.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Сигел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, Т.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Брайсон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. К. : Наш формат, 2017. – 192 с. </w:t>
      </w:r>
    </w:p>
    <w:p w14:paraId="6ABA4209" w14:textId="77777777" w:rsidR="00DB5C8F" w:rsidRPr="008C305E" w:rsidRDefault="00DB5C8F" w:rsidP="00214AF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Титаренко Т. М.,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Лєпіхова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Л. А. Психологічна профілактика стресових перевантажень серед шкільної молоді: науково-методичний посібник. Київ: Міленіум, 2006. 204 с. </w:t>
      </w:r>
    </w:p>
    <w:p w14:paraId="068439A0" w14:textId="77777777" w:rsidR="00214AF0" w:rsidRPr="008C305E" w:rsidRDefault="00214AF0" w:rsidP="00214AF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A36740" w14:textId="77777777" w:rsidR="001858F9" w:rsidRPr="008C305E" w:rsidRDefault="001858F9" w:rsidP="00214AF0">
      <w:pPr>
        <w:spacing w:line="240" w:lineRule="auto"/>
        <w:ind w:left="360"/>
        <w:rPr>
          <w:b/>
          <w:sz w:val="24"/>
          <w:szCs w:val="24"/>
          <w:lang w:val="uk-UA"/>
        </w:rPr>
      </w:pPr>
      <w:r w:rsidRPr="008C305E">
        <w:rPr>
          <w:b/>
          <w:sz w:val="24"/>
          <w:szCs w:val="24"/>
          <w:lang w:val="uk-UA"/>
        </w:rPr>
        <w:t>Модуль 2</w:t>
      </w:r>
    </w:p>
    <w:p w14:paraId="2CBCB79A" w14:textId="77777777" w:rsidR="00713C92" w:rsidRPr="008C305E" w:rsidRDefault="00713C92" w:rsidP="00713C92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lang w:val="uk-UA"/>
        </w:rPr>
      </w:pPr>
      <w:r w:rsidRPr="008C305E">
        <w:rPr>
          <w:color w:val="000000"/>
          <w:lang w:val="uk-UA"/>
        </w:rPr>
        <w:t xml:space="preserve">«Абетка для директора». Рекомендації до побудови внутрішньої системи забезпечення якості освіти у закладі загальної середньої освіти (К., 2021) </w:t>
      </w:r>
      <w:hyperlink r:id="rId7" w:history="1">
        <w:r w:rsidRPr="008C305E">
          <w:rPr>
            <w:rStyle w:val="a6"/>
            <w:lang w:val="uk-UA"/>
          </w:rPr>
          <w:t>https://sqe.gov.ua/wp-content/uploads/2021/08/Abetka_dyrektora_2021_SQE_SURGe.pdf</w:t>
        </w:r>
      </w:hyperlink>
    </w:p>
    <w:p w14:paraId="5EDC4F02" w14:textId="77777777" w:rsidR="00713C92" w:rsidRPr="008C305E" w:rsidRDefault="00713C92" w:rsidP="00713C92">
      <w:pPr>
        <w:pStyle w:val="a5"/>
        <w:numPr>
          <w:ilvl w:val="0"/>
          <w:numId w:val="14"/>
        </w:numPr>
        <w:spacing w:after="0" w:line="240" w:lineRule="auto"/>
        <w:ind w:right="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Андреас  </w:t>
      </w:r>
      <w:proofErr w:type="spellStart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Шлейхер</w:t>
      </w:r>
      <w:proofErr w:type="spellEnd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 Найкращий клас у світі: як створити освітню систему 21-го століття / Переклала з </w:t>
      </w:r>
      <w:proofErr w:type="spellStart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англ</w:t>
      </w:r>
      <w:proofErr w:type="spellEnd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 Ганна Лелів. – Львів: Літопис, 2018. – 296 с. </w:t>
      </w:r>
    </w:p>
    <w:p w14:paraId="44CFE52E" w14:textId="77777777" w:rsidR="00CF73FA" w:rsidRPr="008C305E" w:rsidRDefault="00CF73FA" w:rsidP="00CF73F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Антонова О. П. 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Нова українська школа: використання інформаційно-комунікаційних технологій у 1-2 класах ЗЗСО. Навчально-методичний посібник.  /</w:t>
      </w:r>
      <w:r w:rsidR="00482F94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П. Антонова. - К.</w:t>
      </w:r>
      <w:r w:rsidR="00482F94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Генеза, 2019. - 96 с. </w:t>
      </w:r>
    </w:p>
    <w:p w14:paraId="7697ED4D" w14:textId="77777777" w:rsidR="00CF73FA" w:rsidRPr="008C305E" w:rsidRDefault="00CF73FA" w:rsidP="00CF73F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Бібік</w:t>
      </w:r>
      <w:proofErr w:type="spellEnd"/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Н. М. 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Нова українська школа. Порадник для вчителя. Навчально-методичний посібник. /</w:t>
      </w:r>
      <w:r w:rsidR="00482F94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ред. Н. М. </w:t>
      </w:r>
      <w:proofErr w:type="spellStart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Бібік</w:t>
      </w:r>
      <w:proofErr w:type="spellEnd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К.</w:t>
      </w:r>
      <w:r w:rsidR="00482F94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Літера ЛТД, 2018. - 160 с.</w:t>
      </w:r>
    </w:p>
    <w:p w14:paraId="3D7789C6" w14:textId="77777777" w:rsidR="002046A8" w:rsidRPr="008C305E" w:rsidRDefault="002046A8" w:rsidP="00CF73FA">
      <w:pPr>
        <w:pStyle w:val="a5"/>
        <w:numPr>
          <w:ilvl w:val="0"/>
          <w:numId w:val="14"/>
        </w:numPr>
        <w:spacing w:after="0" w:line="240" w:lineRule="auto"/>
        <w:ind w:right="9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val="uk-UA" w:eastAsia="ru-RU"/>
        </w:rPr>
      </w:pPr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Організація середовища дистанційного навчання в середніх загальноосвітніх навчальних закладах : посібник/автори: </w:t>
      </w:r>
      <w:proofErr w:type="spellStart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Богачков</w:t>
      </w:r>
      <w:proofErr w:type="spellEnd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Ю.М., Биков В.Ю., Пінчук О.П., </w:t>
      </w:r>
      <w:proofErr w:type="spellStart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Манако</w:t>
      </w:r>
      <w:proofErr w:type="spellEnd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А.Ф., </w:t>
      </w:r>
      <w:proofErr w:type="spellStart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Вольневич</w:t>
      </w:r>
      <w:proofErr w:type="spellEnd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О.І., Царенко В.О., Ухань П.С., Мушка І.В. / </w:t>
      </w:r>
      <w:r w:rsidR="00482F94"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аук. ред. Ю.</w:t>
      </w:r>
      <w:r w:rsidR="00CF73FA"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М. </w:t>
      </w:r>
      <w:proofErr w:type="spellStart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Богачков</w:t>
      </w:r>
      <w:proofErr w:type="spellEnd"/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К.</w:t>
      </w:r>
      <w:r w:rsidR="00CF73FA"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 Педаго</w:t>
      </w:r>
      <w:r w:rsidR="00CF73FA" w:rsidRPr="008C30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гічна думка, 2012. – 160 с.</w:t>
      </w:r>
    </w:p>
    <w:p w14:paraId="2DED52DD" w14:textId="77777777" w:rsidR="00713C92" w:rsidRPr="008C305E" w:rsidRDefault="00713C92" w:rsidP="00713C9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Оценивание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учебных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достижений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Методическое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руководство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Сост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. Р. Х.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Шакиров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, А. А.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Буркитова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, О. И. 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Дудкина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>. — Б.</w:t>
      </w:r>
      <w:r w:rsidR="00CF73FA"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305E">
        <w:rPr>
          <w:rFonts w:ascii="Times New Roman" w:hAnsi="Times New Roman" w:cs="Times New Roman"/>
          <w:sz w:val="24"/>
          <w:szCs w:val="24"/>
          <w:lang w:val="uk-UA"/>
        </w:rPr>
        <w:t>: «</w:t>
      </w:r>
      <w:proofErr w:type="spellStart"/>
      <w:r w:rsidRPr="008C305E">
        <w:rPr>
          <w:rFonts w:ascii="Times New Roman" w:hAnsi="Times New Roman" w:cs="Times New Roman"/>
          <w:sz w:val="24"/>
          <w:szCs w:val="24"/>
          <w:lang w:val="uk-UA"/>
        </w:rPr>
        <w:t>Билим</w:t>
      </w:r>
      <w:proofErr w:type="spellEnd"/>
      <w:r w:rsidRPr="008C305E">
        <w:rPr>
          <w:rFonts w:ascii="Times New Roman" w:hAnsi="Times New Roman" w:cs="Times New Roman"/>
          <w:sz w:val="24"/>
          <w:szCs w:val="24"/>
          <w:lang w:val="uk-UA"/>
        </w:rPr>
        <w:t xml:space="preserve">», 2012. — 80 с. [Електронний ресурс] — Режим доступу: https://docplayer.ru/25833297-Ocenivanie-uchebnyh-dostizheniy-uchashchihsyametodicheskoe-rukovodstvo-sost-r-h-shakirov-a-a-burkitova-o-i-dudkina-b-bilim-s.html </w:t>
      </w:r>
    </w:p>
    <w:p w14:paraId="0490AB46" w14:textId="77777777" w:rsidR="002046A8" w:rsidRPr="008C305E" w:rsidRDefault="00713C92" w:rsidP="00713C9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305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Оцінювання досягнень учнів, учителів і шкіл [Електронний ресурс] — Режим доступу: </w:t>
      </w:r>
      <w:hyperlink r:id="rId8" w:history="1">
        <w:r w:rsidR="00C35258" w:rsidRPr="008C305E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http://www.living-democracy.com/pdf/uk/V1/V01_P02_U05_C02_ WF03.pdf</w:t>
        </w:r>
      </w:hyperlink>
    </w:p>
    <w:p w14:paraId="3D075EBE" w14:textId="77777777" w:rsidR="00CF73FA" w:rsidRPr="008C305E" w:rsidRDefault="00CF73FA" w:rsidP="00CF73F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Пометун</w:t>
      </w:r>
      <w:proofErr w:type="spellEnd"/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О. І. 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Нова українська школа: розвиток критичного мислення в учнів початкової школи. </w:t>
      </w:r>
      <w:proofErr w:type="spellStart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Начально</w:t>
      </w:r>
      <w:proofErr w:type="spellEnd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-методичний посібник / О. І. </w:t>
      </w:r>
      <w:proofErr w:type="spellStart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Пометун</w:t>
      </w:r>
      <w:proofErr w:type="spellEnd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</w:t>
      </w:r>
      <w:r w:rsidR="00482F94"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К. : Видавничий дім "Освіта", 2020. - 192 с.</w:t>
      </w:r>
    </w:p>
    <w:p w14:paraId="5ECA6F58" w14:textId="77777777" w:rsidR="00CF73FA" w:rsidRPr="008C305E" w:rsidRDefault="00CF73FA" w:rsidP="00CF73F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Фідкевич</w:t>
      </w:r>
      <w:proofErr w:type="spellEnd"/>
      <w:r w:rsidRPr="008C30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О. Л. </w:t>
      </w:r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Нова українська школа: теорія і практика формувального оцінювання у 3-4 класах закладів загальної середньої освіти» для педагогічних працівників / </w:t>
      </w:r>
      <w:proofErr w:type="spellStart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Фідкевич</w:t>
      </w:r>
      <w:proofErr w:type="spellEnd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О.Л., </w:t>
      </w:r>
      <w:proofErr w:type="spellStart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Богданець-Білоскаленко</w:t>
      </w:r>
      <w:proofErr w:type="spellEnd"/>
      <w:r w:rsidRPr="008C3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Н.І. – К. : Генеза, 2020. - 96 с.</w:t>
      </w:r>
    </w:p>
    <w:p w14:paraId="171E7862" w14:textId="77777777" w:rsidR="00CF73FA" w:rsidRPr="008C305E" w:rsidRDefault="00CF73FA" w:rsidP="00CF73FA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CF73FA" w:rsidRPr="008C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548E"/>
    <w:multiLevelType w:val="hybridMultilevel"/>
    <w:tmpl w:val="1A70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F5D"/>
    <w:multiLevelType w:val="hybridMultilevel"/>
    <w:tmpl w:val="321A659A"/>
    <w:lvl w:ilvl="0" w:tplc="1E8EA8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50505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430F"/>
    <w:multiLevelType w:val="hybridMultilevel"/>
    <w:tmpl w:val="5E60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9CA"/>
    <w:multiLevelType w:val="hybridMultilevel"/>
    <w:tmpl w:val="6FD6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D7E"/>
    <w:multiLevelType w:val="multilevel"/>
    <w:tmpl w:val="914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F761B"/>
    <w:multiLevelType w:val="multilevel"/>
    <w:tmpl w:val="5452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F2409"/>
    <w:multiLevelType w:val="multilevel"/>
    <w:tmpl w:val="3302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A3FDF"/>
    <w:multiLevelType w:val="multilevel"/>
    <w:tmpl w:val="3D00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335C6"/>
    <w:multiLevelType w:val="hybridMultilevel"/>
    <w:tmpl w:val="AFFE33C2"/>
    <w:lvl w:ilvl="0" w:tplc="72F247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5050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724A8"/>
    <w:multiLevelType w:val="hybridMultilevel"/>
    <w:tmpl w:val="CEF6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5A58"/>
    <w:multiLevelType w:val="multilevel"/>
    <w:tmpl w:val="7AC0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A6D8C"/>
    <w:multiLevelType w:val="hybridMultilevel"/>
    <w:tmpl w:val="B5DA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4175"/>
    <w:multiLevelType w:val="hybridMultilevel"/>
    <w:tmpl w:val="5E60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4DD9"/>
    <w:multiLevelType w:val="multilevel"/>
    <w:tmpl w:val="80F0F1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4" w15:restartNumberingAfterBreak="0">
    <w:nsid w:val="62D42747"/>
    <w:multiLevelType w:val="multilevel"/>
    <w:tmpl w:val="FBF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43540"/>
    <w:multiLevelType w:val="multilevel"/>
    <w:tmpl w:val="3E1E8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00981"/>
    <w:multiLevelType w:val="multilevel"/>
    <w:tmpl w:val="A6DC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66A32"/>
    <w:multiLevelType w:val="hybridMultilevel"/>
    <w:tmpl w:val="87AE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47EE1"/>
    <w:multiLevelType w:val="multilevel"/>
    <w:tmpl w:val="9DC86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904037">
    <w:abstractNumId w:val="2"/>
  </w:num>
  <w:num w:numId="2" w16cid:durableId="370082769">
    <w:abstractNumId w:val="12"/>
  </w:num>
  <w:num w:numId="3" w16cid:durableId="873230661">
    <w:abstractNumId w:val="0"/>
  </w:num>
  <w:num w:numId="4" w16cid:durableId="125441158">
    <w:abstractNumId w:val="16"/>
  </w:num>
  <w:num w:numId="5" w16cid:durableId="1931616239">
    <w:abstractNumId w:val="14"/>
  </w:num>
  <w:num w:numId="6" w16cid:durableId="664472722">
    <w:abstractNumId w:val="7"/>
  </w:num>
  <w:num w:numId="7" w16cid:durableId="1071733870">
    <w:abstractNumId w:val="6"/>
  </w:num>
  <w:num w:numId="8" w16cid:durableId="805194995">
    <w:abstractNumId w:val="4"/>
  </w:num>
  <w:num w:numId="9" w16cid:durableId="1677077711">
    <w:abstractNumId w:val="10"/>
  </w:num>
  <w:num w:numId="10" w16cid:durableId="785269885">
    <w:abstractNumId w:val="5"/>
  </w:num>
  <w:num w:numId="11" w16cid:durableId="1168785268">
    <w:abstractNumId w:val="15"/>
    <w:lvlOverride w:ilvl="0">
      <w:lvl w:ilvl="0">
        <w:numFmt w:val="decimal"/>
        <w:lvlText w:val="%1."/>
        <w:lvlJc w:val="left"/>
      </w:lvl>
    </w:lvlOverride>
  </w:num>
  <w:num w:numId="12" w16cid:durableId="1874687577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373534430">
    <w:abstractNumId w:val="9"/>
  </w:num>
  <w:num w:numId="14" w16cid:durableId="1897087181">
    <w:abstractNumId w:val="17"/>
  </w:num>
  <w:num w:numId="15" w16cid:durableId="1056078664">
    <w:abstractNumId w:val="13"/>
  </w:num>
  <w:num w:numId="16" w16cid:durableId="1432048438">
    <w:abstractNumId w:val="3"/>
  </w:num>
  <w:num w:numId="17" w16cid:durableId="1396515423">
    <w:abstractNumId w:val="11"/>
  </w:num>
  <w:num w:numId="18" w16cid:durableId="1207446179">
    <w:abstractNumId w:val="8"/>
  </w:num>
  <w:num w:numId="19" w16cid:durableId="119053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2E"/>
    <w:rsid w:val="00054C2A"/>
    <w:rsid w:val="00086515"/>
    <w:rsid w:val="00100B16"/>
    <w:rsid w:val="001858F9"/>
    <w:rsid w:val="001C58A0"/>
    <w:rsid w:val="002046A8"/>
    <w:rsid w:val="002147D0"/>
    <w:rsid w:val="00214AF0"/>
    <w:rsid w:val="00226040"/>
    <w:rsid w:val="002E1781"/>
    <w:rsid w:val="002E54CF"/>
    <w:rsid w:val="0031726C"/>
    <w:rsid w:val="003407D3"/>
    <w:rsid w:val="00386230"/>
    <w:rsid w:val="003C0B43"/>
    <w:rsid w:val="004273A3"/>
    <w:rsid w:val="004352E4"/>
    <w:rsid w:val="00482F94"/>
    <w:rsid w:val="00485AF3"/>
    <w:rsid w:val="004A350E"/>
    <w:rsid w:val="004B1612"/>
    <w:rsid w:val="004C2502"/>
    <w:rsid w:val="00504218"/>
    <w:rsid w:val="005058BC"/>
    <w:rsid w:val="00593698"/>
    <w:rsid w:val="006331DC"/>
    <w:rsid w:val="00676C1E"/>
    <w:rsid w:val="006F6059"/>
    <w:rsid w:val="00713C92"/>
    <w:rsid w:val="0076201D"/>
    <w:rsid w:val="00763262"/>
    <w:rsid w:val="008C305E"/>
    <w:rsid w:val="008E1B38"/>
    <w:rsid w:val="008F1B8E"/>
    <w:rsid w:val="00930160"/>
    <w:rsid w:val="00952B2E"/>
    <w:rsid w:val="00955CAA"/>
    <w:rsid w:val="00996D86"/>
    <w:rsid w:val="009B12BB"/>
    <w:rsid w:val="00A950F4"/>
    <w:rsid w:val="00AD03FB"/>
    <w:rsid w:val="00AD6A33"/>
    <w:rsid w:val="00B413E2"/>
    <w:rsid w:val="00B50518"/>
    <w:rsid w:val="00B808DB"/>
    <w:rsid w:val="00B94F83"/>
    <w:rsid w:val="00BA65D9"/>
    <w:rsid w:val="00BB00AC"/>
    <w:rsid w:val="00BE4CCF"/>
    <w:rsid w:val="00BE5957"/>
    <w:rsid w:val="00C1202E"/>
    <w:rsid w:val="00C14A6C"/>
    <w:rsid w:val="00C21820"/>
    <w:rsid w:val="00C35258"/>
    <w:rsid w:val="00CE72DC"/>
    <w:rsid w:val="00CF73FA"/>
    <w:rsid w:val="00D41195"/>
    <w:rsid w:val="00D87B41"/>
    <w:rsid w:val="00DB5C8F"/>
    <w:rsid w:val="00DC2A97"/>
    <w:rsid w:val="00DC364E"/>
    <w:rsid w:val="00E0298F"/>
    <w:rsid w:val="00E2242B"/>
    <w:rsid w:val="00E56057"/>
    <w:rsid w:val="00EA71BA"/>
    <w:rsid w:val="00EA7725"/>
    <w:rsid w:val="00EB3DAE"/>
    <w:rsid w:val="00EC24B6"/>
    <w:rsid w:val="00ED0FCC"/>
    <w:rsid w:val="00EF0C16"/>
    <w:rsid w:val="00F238B4"/>
    <w:rsid w:val="00F80023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1249"/>
  <w15:chartTrackingRefBased/>
  <w15:docId w15:val="{56BFC3D9-F701-4630-B0B8-320333C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FCC"/>
    <w:pPr>
      <w:ind w:left="720"/>
      <w:contextualSpacing/>
    </w:pPr>
  </w:style>
  <w:style w:type="table" w:customStyle="1" w:styleId="1">
    <w:name w:val="1"/>
    <w:basedOn w:val="a1"/>
    <w:rsid w:val="00B94F83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2046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13C92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CF73F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F1B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1B8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8F1B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1B8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8F1B8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F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8F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0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ing-democracy.com/pdf/uk/V1/V01_P02_U05_C02_%20WF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qe.gov.ua/wp-content/uploads/2021/08/Abetka_dyrektora_2021_SQE_SUR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ucu.edu.ua%2Fnews%2Foleg-romanchuk-psyhologichna-stijkist-podibna-do-m-yaziv-trenuyesh-yih-pravylno-vony-rostut%2F%3Ffbclid%3DIwAR1aCZ1sCoKLTFQ5zdei8VeIJubyGF5US_AS1XWQVeRAEKk1RyO9jfVnANM&amp;h=AT0WMBJPkmrJXPMclLu0SPOibj2UN55wSPWyP-xBka7yzdB4nBcSTpul3NguclzXtO-8lgLZBenHYULrHkhsYXnXZGFbjiebZcpIxiL9E9PUBcurwlYV-rxjTyURObrgbCc5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6433</Words>
  <Characters>3668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</cp:lastModifiedBy>
  <cp:revision>2</cp:revision>
  <dcterms:created xsi:type="dcterms:W3CDTF">2022-09-22T08:59:00Z</dcterms:created>
  <dcterms:modified xsi:type="dcterms:W3CDTF">2022-09-22T08:59:00Z</dcterms:modified>
</cp:coreProperties>
</file>